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2C" w:rsidRDefault="00B0392C" w:rsidP="00B0392C">
      <w:r>
        <w:t>Ficheiro “</w:t>
      </w:r>
      <w:r w:rsidRPr="00B0392C">
        <w:t>Revisão artigo infidelidade</w:t>
      </w:r>
      <w:r>
        <w:t>”</w:t>
      </w:r>
    </w:p>
    <w:p w:rsidR="0091280D" w:rsidRDefault="00B0392C" w:rsidP="00B0392C">
      <w:pPr>
        <w:pStyle w:val="PargrafodaLista"/>
        <w:numPr>
          <w:ilvl w:val="0"/>
          <w:numId w:val="1"/>
        </w:numPr>
      </w:pPr>
      <w:r>
        <w:t>A emergência de novos modelos relacionais em que a fidelidade está aparentemente ausente e em que os parceiros mantêm mais do que uma relação</w:t>
      </w:r>
      <w:r w:rsidRPr="00B0392C">
        <w:t xml:space="preserve"> </w:t>
      </w:r>
      <w:r>
        <w:t>em simultâneo, com conhecimento e consentimento mútuos (“</w:t>
      </w:r>
      <w:proofErr w:type="spellStart"/>
      <w:r>
        <w:t>poliamóricos</w:t>
      </w:r>
      <w:proofErr w:type="spellEnd"/>
      <w:r>
        <w:t>”), foi reconhecida e referenciada, tal como salientado. A influência limitada destes novos estilos de vida e o facto de, em estudos anteriores, se ter constatado que, para a generalidade dos indivíduos, o consentimento do parceiro não neutraliza o significado de infidelidade, foram também notados. Foi clarificado na discussão que a variável dependente se apoia naquilo que os próprios participantes consideraram como infidelidade.</w:t>
      </w:r>
    </w:p>
    <w:p w:rsidR="00B0392C" w:rsidRDefault="00B0392C" w:rsidP="00B0392C">
      <w:pPr>
        <w:pStyle w:val="PargrafodaLista"/>
        <w:numPr>
          <w:ilvl w:val="0"/>
          <w:numId w:val="1"/>
        </w:numPr>
      </w:pPr>
      <w:r>
        <w:t xml:space="preserve">Foi clarificado que a perspetiva do estudo é </w:t>
      </w:r>
      <w:proofErr w:type="spellStart"/>
      <w:r>
        <w:t>multiteórica</w:t>
      </w:r>
      <w:proofErr w:type="spellEnd"/>
      <w:r>
        <w:t xml:space="preserve"> e, em vez de se basear numa única teoria, visa confrontar diferentes perspetivas teóricas e tentar perceber o contributo relativo que cada uma poderá dar à compreensão do fenómeno e à intervenção sobre ele.</w:t>
      </w:r>
    </w:p>
    <w:p w:rsidR="000E538D" w:rsidRDefault="000E538D" w:rsidP="00B0392C">
      <w:pPr>
        <w:pStyle w:val="PargrafodaLista"/>
        <w:numPr>
          <w:ilvl w:val="0"/>
          <w:numId w:val="1"/>
        </w:numPr>
      </w:pPr>
      <w:r>
        <w:t>Foram acrescentadas no resumo a dimensão da amostra, breve referência à metodologia, e à discussão e conclusões.</w:t>
      </w:r>
    </w:p>
    <w:p w:rsidR="00E83381" w:rsidRDefault="00E83381" w:rsidP="00B0392C">
      <w:pPr>
        <w:pStyle w:val="PargrafodaLista"/>
        <w:numPr>
          <w:ilvl w:val="0"/>
          <w:numId w:val="1"/>
        </w:numPr>
      </w:pPr>
      <w:r>
        <w:t>O parágrafo final da introdução foi expandido, clarificado e dividido em várias frases, tal como sugerido pelo revisor 1.</w:t>
      </w:r>
    </w:p>
    <w:p w:rsidR="00136CA8" w:rsidRDefault="00136CA8" w:rsidP="00B0392C">
      <w:pPr>
        <w:pStyle w:val="PargrafodaLista"/>
        <w:numPr>
          <w:ilvl w:val="0"/>
          <w:numId w:val="1"/>
        </w:numPr>
      </w:pPr>
      <w:r>
        <w:t>Foi clarificado que as análises em componentes principais foram feitas a partir dos dados do primeiro momento</w:t>
      </w:r>
      <w:r w:rsidR="00004E42">
        <w:t xml:space="preserve"> e foi introduzida uma breve explicação das diferentes partes da análise de dados efetuada</w:t>
      </w:r>
      <w:r>
        <w:t xml:space="preserve">, tal </w:t>
      </w:r>
      <w:r w:rsidR="00004E42">
        <w:t>como recomendado pelo revisor 1.</w:t>
      </w:r>
    </w:p>
    <w:p w:rsidR="0018465F" w:rsidRDefault="0018465F" w:rsidP="00B0392C">
      <w:pPr>
        <w:pStyle w:val="PargrafodaLista"/>
        <w:numPr>
          <w:ilvl w:val="0"/>
          <w:numId w:val="1"/>
        </w:numPr>
      </w:pPr>
      <w:r>
        <w:t xml:space="preserve">Na descrição da amostra, são apresentadas as percentagens das principais categorias para as variáveis de nível nominal, e não o </w:t>
      </w:r>
      <w:r w:rsidRPr="008924F8">
        <w:rPr>
          <w:i/>
        </w:rPr>
        <w:t>n</w:t>
      </w:r>
      <w:r>
        <w:t>, tal como é sugerido pelo revisor 1, para evitar sobrecarregar o texto. O leitor interessado pode facilmente calcular o número de casos da categoria, uma vez que no início da secção é indicado o n total (545).</w:t>
      </w:r>
    </w:p>
    <w:p w:rsidR="00352735" w:rsidRDefault="00352735" w:rsidP="00B0392C">
      <w:pPr>
        <w:pStyle w:val="PargrafodaLista"/>
        <w:numPr>
          <w:ilvl w:val="0"/>
          <w:numId w:val="1"/>
        </w:numPr>
      </w:pPr>
      <w:r>
        <w:t>Foi indicado o número de participantes que responderam à secção D do QMCER, tal como solicitado pelo revisor 1.</w:t>
      </w:r>
    </w:p>
    <w:p w:rsidR="00FF24AD" w:rsidRDefault="00FF24AD" w:rsidP="00FF24AD">
      <w:pPr>
        <w:pStyle w:val="PargrafodaLista"/>
        <w:numPr>
          <w:ilvl w:val="0"/>
          <w:numId w:val="1"/>
        </w:numPr>
      </w:pPr>
      <w:r>
        <w:t>Foi mencionado que se calcularam</w:t>
      </w:r>
      <w:r w:rsidRPr="00FF24AD">
        <w:t xml:space="preserve"> o índice de Kaiser-</w:t>
      </w:r>
      <w:proofErr w:type="spellStart"/>
      <w:r w:rsidRPr="00FF24AD">
        <w:t>Meyer</w:t>
      </w:r>
      <w:proofErr w:type="spellEnd"/>
      <w:r w:rsidRPr="00FF24AD">
        <w:t>-</w:t>
      </w:r>
      <w:proofErr w:type="spellStart"/>
      <w:r w:rsidRPr="00FF24AD">
        <w:t>Olkin</w:t>
      </w:r>
      <w:proofErr w:type="spellEnd"/>
      <w:r w:rsidRPr="00FF24AD">
        <w:t xml:space="preserve"> e o teste de esfericidade de Bartlett</w:t>
      </w:r>
      <w:r>
        <w:t xml:space="preserve">, e que estes apenas não são apresentados no detalhe dos seus resultados por razões de espaço, </w:t>
      </w:r>
      <w:r w:rsidR="00894A7A">
        <w:t>devido ao</w:t>
      </w:r>
      <w:r>
        <w:t xml:space="preserve"> elevado número de análises.</w:t>
      </w:r>
    </w:p>
    <w:p w:rsidR="00EA7F85" w:rsidRDefault="00EA7F85" w:rsidP="00FF24AD">
      <w:pPr>
        <w:pStyle w:val="PargrafodaLista"/>
        <w:numPr>
          <w:ilvl w:val="0"/>
          <w:numId w:val="1"/>
        </w:numPr>
      </w:pPr>
      <w:r>
        <w:t xml:space="preserve">A propósito das análises em componentes principais dos diversos instrumentos, o critério de considerar saturações fatoriais a partir de 0,50 é frequente na literatura. O número reduzido de itens (sendo os valores do alfa de </w:t>
      </w:r>
      <w:proofErr w:type="spellStart"/>
      <w:r>
        <w:t>Cronbach</w:t>
      </w:r>
      <w:proofErr w:type="spellEnd"/>
      <w:r>
        <w:t xml:space="preserve"> aceitáveis) permitiu manter a extensão total do protocolo de recolha de dados num nível aceitável, apesar do seu número elevado, e parece-nos ser um aspeto positivo da metodologia utilizada. O número inicial de itens nas secções C e D do QMCER estava já indicado (10).</w:t>
      </w:r>
    </w:p>
    <w:p w:rsidR="00800BD5" w:rsidRDefault="00800BD5" w:rsidP="00FF24AD">
      <w:pPr>
        <w:pStyle w:val="PargrafodaLista"/>
        <w:numPr>
          <w:ilvl w:val="0"/>
          <w:numId w:val="1"/>
        </w:numPr>
      </w:pPr>
      <w:r>
        <w:t xml:space="preserve">O número de participantes no 1º e </w:t>
      </w:r>
      <w:proofErr w:type="gramStart"/>
      <w:r>
        <w:t>2º momentos</w:t>
      </w:r>
      <w:proofErr w:type="gramEnd"/>
      <w:r>
        <w:t>, dos quais se pode estimar a perda de um para outro, estavam já indicados. A questão é agora mais explicitamente abordada.</w:t>
      </w:r>
    </w:p>
    <w:p w:rsidR="008924F8" w:rsidRDefault="008924F8" w:rsidP="00FF24AD">
      <w:pPr>
        <w:pStyle w:val="PargrafodaLista"/>
        <w:numPr>
          <w:ilvl w:val="0"/>
          <w:numId w:val="1"/>
        </w:numPr>
      </w:pPr>
      <w:r>
        <w:t>Foi sistematizada a referência apenas aos componentes derivados das análises em componentes principais como “preditores”, sendo as variáveis que entraram nessas análises designadas simplesmente como “variáveis” ou “potenciais preditores”.</w:t>
      </w:r>
    </w:p>
    <w:p w:rsidR="008924F8" w:rsidRDefault="008924F8" w:rsidP="008924F8">
      <w:pPr>
        <w:pStyle w:val="PargrafodaLista"/>
        <w:numPr>
          <w:ilvl w:val="0"/>
          <w:numId w:val="1"/>
        </w:numPr>
      </w:pPr>
      <w:r>
        <w:t xml:space="preserve">Não </w:t>
      </w:r>
      <w:proofErr w:type="gramStart"/>
      <w:r>
        <w:t>faria sentido</w:t>
      </w:r>
      <w:proofErr w:type="gramEnd"/>
      <w:r>
        <w:t xml:space="preserve"> “</w:t>
      </w:r>
      <w:r w:rsidRPr="008924F8">
        <w:t>apresentar uma figura com a hierarquia dos fatores de primeira, segunda e quiçá de terceira ordem</w:t>
      </w:r>
      <w:r>
        <w:t>”, visto que não existem fatores de diferentes ordens.</w:t>
      </w:r>
    </w:p>
    <w:p w:rsidR="006112F3" w:rsidRDefault="006112F3" w:rsidP="00FF24AD">
      <w:pPr>
        <w:pStyle w:val="PargrafodaLista"/>
        <w:numPr>
          <w:ilvl w:val="0"/>
          <w:numId w:val="1"/>
        </w:numPr>
      </w:pPr>
      <w:r>
        <w:t>Os títulos das subsecções dos resultados foram simplificados, tal com indicado por um dos revisores.</w:t>
      </w:r>
    </w:p>
    <w:p w:rsidR="00EE2249" w:rsidRDefault="00EE2249" w:rsidP="00FF24AD">
      <w:pPr>
        <w:pStyle w:val="PargrafodaLista"/>
        <w:numPr>
          <w:ilvl w:val="0"/>
          <w:numId w:val="1"/>
        </w:numPr>
      </w:pPr>
      <w:r>
        <w:lastRenderedPageBreak/>
        <w:t>Foi sistematizada a forma de apresentação dos números decimais, com utilização da vírgula em todos os casos.</w:t>
      </w:r>
      <w:bookmarkStart w:id="0" w:name="_GoBack"/>
      <w:bookmarkEnd w:id="0"/>
    </w:p>
    <w:p w:rsidR="00163B5F" w:rsidRDefault="00163B5F" w:rsidP="00FF24AD">
      <w:pPr>
        <w:pStyle w:val="PargrafodaLista"/>
        <w:numPr>
          <w:ilvl w:val="0"/>
          <w:numId w:val="1"/>
        </w:numPr>
      </w:pPr>
      <w:r>
        <w:t>Nos quadros de apresentação dos resultados das regressões, a coluna das significâncias foi substituída por indicações através de asteriscos, tal como sugerido pelo revisor, o que permitiu juntar no mesmo quadro os resultados para os 3 fatores, tornando a apresentação dos resultados mais compacta.</w:t>
      </w:r>
    </w:p>
    <w:p w:rsidR="00457EFA" w:rsidRDefault="00457EFA" w:rsidP="00FF24AD">
      <w:pPr>
        <w:pStyle w:val="PargrafodaLista"/>
        <w:numPr>
          <w:ilvl w:val="0"/>
          <w:numId w:val="1"/>
        </w:numPr>
      </w:pPr>
      <w:r>
        <w:t>O reduzido número de participantes no segundo momento é reconhecido nas limitações e, mesmo na apresentação dos resultados, é referido como tendo impossibilitado a análise em separado por sexos.</w:t>
      </w:r>
      <w:r w:rsidR="00B3035A">
        <w:t xml:space="preserve"> De qualquer forma, efetuámos uma análise em função dos critérios propostos por Green (1991), tendo em conta a magnitude dos efeitos (</w:t>
      </w:r>
      <w:proofErr w:type="spellStart"/>
      <w:r w:rsidR="00B3035A" w:rsidRPr="00B3035A">
        <w:rPr>
          <w:i/>
        </w:rPr>
        <w:t>power</w:t>
      </w:r>
      <w:proofErr w:type="spellEnd"/>
      <w:r w:rsidR="00B3035A" w:rsidRPr="00B3035A">
        <w:rPr>
          <w:i/>
        </w:rPr>
        <w:t xml:space="preserve"> </w:t>
      </w:r>
      <w:proofErr w:type="spellStart"/>
      <w:r w:rsidR="00B3035A" w:rsidRPr="00B3035A">
        <w:rPr>
          <w:i/>
        </w:rPr>
        <w:t>analysis</w:t>
      </w:r>
      <w:proofErr w:type="spellEnd"/>
      <w:r w:rsidR="00B3035A">
        <w:t>) e concluímos que o número de sujeitos utilizado é suficiente para detetar como significativas correlações parciais inferiores a 0,3, o que nos parece perfeitamente adequado e corresponde ao que foi encontrado nos resultados.</w:t>
      </w:r>
    </w:p>
    <w:p w:rsidR="000E102B" w:rsidRDefault="000E102B" w:rsidP="00FF24AD">
      <w:pPr>
        <w:pStyle w:val="PargrafodaLista"/>
        <w:numPr>
          <w:ilvl w:val="0"/>
          <w:numId w:val="1"/>
        </w:numPr>
      </w:pPr>
      <w:r>
        <w:t>A questão de não ter sido levado em conta o consentimento do parceiro é apontada nas limitações do estudo.</w:t>
      </w:r>
    </w:p>
    <w:p w:rsidR="000E538D" w:rsidRDefault="000E538D" w:rsidP="00FF24AD">
      <w:pPr>
        <w:pStyle w:val="PargrafodaLista"/>
        <w:numPr>
          <w:ilvl w:val="0"/>
          <w:numId w:val="1"/>
        </w:numPr>
      </w:pPr>
      <w:r>
        <w:t xml:space="preserve">Foram clarificadas ou acrescentadas na discussão referências às perspetivas teóricas mencionadas na introdução, bem como as conclusões em termos dessas perspetivas. </w:t>
      </w:r>
      <w:r w:rsidR="00B716FA">
        <w:t xml:space="preserve">Foram clarificadas e enfatizadas as contribuições do estudo para a literatura e a prática clínica. </w:t>
      </w:r>
      <w:r>
        <w:t>Limites de espaço impediram uma discussão mais exaustiva.</w:t>
      </w:r>
    </w:p>
    <w:p w:rsidR="00136CA8" w:rsidRDefault="00136CA8" w:rsidP="00B0392C">
      <w:pPr>
        <w:pStyle w:val="PargrafodaLista"/>
        <w:numPr>
          <w:ilvl w:val="0"/>
          <w:numId w:val="1"/>
        </w:numPr>
      </w:pPr>
      <w:r>
        <w:t>Foram feitas diversas reformulações que ajudaram a clarificar vários aspetos do texto e das citações bibliográficas.</w:t>
      </w:r>
    </w:p>
    <w:sectPr w:rsidR="00136C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04107"/>
    <w:multiLevelType w:val="hybridMultilevel"/>
    <w:tmpl w:val="3788C3BC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2C"/>
    <w:rsid w:val="00004E42"/>
    <w:rsid w:val="000E102B"/>
    <w:rsid w:val="000E538D"/>
    <w:rsid w:val="00136CA8"/>
    <w:rsid w:val="00163B5F"/>
    <w:rsid w:val="0018465F"/>
    <w:rsid w:val="00352735"/>
    <w:rsid w:val="00457EFA"/>
    <w:rsid w:val="006112F3"/>
    <w:rsid w:val="0066427A"/>
    <w:rsid w:val="00800BD5"/>
    <w:rsid w:val="008924F8"/>
    <w:rsid w:val="00894A7A"/>
    <w:rsid w:val="0091280D"/>
    <w:rsid w:val="00916F7C"/>
    <w:rsid w:val="00B0392C"/>
    <w:rsid w:val="00B3035A"/>
    <w:rsid w:val="00B716FA"/>
    <w:rsid w:val="00E83381"/>
    <w:rsid w:val="00EA7F85"/>
    <w:rsid w:val="00EE2249"/>
    <w:rsid w:val="00FC51E7"/>
    <w:rsid w:val="00FF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03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Lisboa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Manuel Moreira</dc:creator>
  <cp:keywords/>
  <dc:description/>
  <cp:lastModifiedBy>João Moreira</cp:lastModifiedBy>
  <cp:revision>17</cp:revision>
  <dcterms:created xsi:type="dcterms:W3CDTF">2015-03-26T19:09:00Z</dcterms:created>
  <dcterms:modified xsi:type="dcterms:W3CDTF">2015-04-14T01:54:00Z</dcterms:modified>
</cp:coreProperties>
</file>